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after="157" w:afterLines="50" w:line="360" w:lineRule="auto"/>
        <w:jc w:val="center"/>
        <w:textAlignment w:val="auto"/>
        <w:rPr>
          <w:b/>
          <w:bCs/>
          <w:color w:val="auto"/>
          <w:sz w:val="30"/>
          <w:szCs w:val="30"/>
        </w:rPr>
      </w:pPr>
      <w:r>
        <w:rPr>
          <w:rFonts w:hint="eastAsia"/>
          <w:b/>
          <w:bCs/>
          <w:color w:val="auto"/>
          <w:sz w:val="30"/>
          <w:szCs w:val="30"/>
          <w:lang w:val="en-US" w:eastAsia="zh-CN"/>
        </w:rPr>
        <w:t>提名</w:t>
      </w:r>
      <w:r>
        <w:rPr>
          <w:rFonts w:hint="eastAsia"/>
          <w:b/>
          <w:bCs/>
          <w:color w:val="auto"/>
          <w:sz w:val="30"/>
          <w:szCs w:val="30"/>
        </w:rPr>
        <w:t>202</w:t>
      </w:r>
      <w:r>
        <w:rPr>
          <w:rFonts w:hint="eastAsia"/>
          <w:b/>
          <w:bCs/>
          <w:color w:val="auto"/>
          <w:sz w:val="30"/>
          <w:szCs w:val="30"/>
          <w:lang w:val="en-US" w:eastAsia="zh-CN"/>
        </w:rPr>
        <w:t>4</w:t>
      </w:r>
      <w:r>
        <w:rPr>
          <w:rFonts w:hint="eastAsia"/>
          <w:b/>
          <w:bCs/>
          <w:color w:val="auto"/>
          <w:sz w:val="30"/>
          <w:szCs w:val="30"/>
        </w:rPr>
        <w:t>年度云南省自然科学奖项目公示</w:t>
      </w:r>
    </w:p>
    <w:p>
      <w:pPr>
        <w:keepNext w:val="0"/>
        <w:keepLines w:val="0"/>
        <w:pageBreakBefore w:val="0"/>
        <w:widowControl/>
        <w:kinsoku/>
        <w:wordWrap/>
        <w:overflowPunct/>
        <w:topLinePunct w:val="0"/>
        <w:autoSpaceDE/>
        <w:autoSpaceDN/>
        <w:bidi w:val="0"/>
        <w:adjustRightInd w:val="0"/>
        <w:snapToGrid/>
        <w:spacing w:before="157" w:beforeLines="50" w:after="157" w:afterLines="50" w:line="360" w:lineRule="auto"/>
        <w:textAlignment w:val="auto"/>
        <w:rPr>
          <w:b/>
          <w:bCs/>
          <w:color w:val="auto"/>
          <w:sz w:val="24"/>
          <w:szCs w:val="24"/>
        </w:rPr>
      </w:pPr>
      <w:r>
        <w:rPr>
          <w:rFonts w:hint="eastAsia"/>
          <w:b/>
          <w:bCs/>
          <w:color w:val="auto"/>
          <w:sz w:val="24"/>
          <w:szCs w:val="24"/>
        </w:rPr>
        <w:t>一、项目基本情况</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default"/>
          <w:color w:val="auto"/>
          <w:sz w:val="24"/>
          <w:szCs w:val="24"/>
          <w:highlight w:val="none"/>
          <w:lang w:val="en-US" w:eastAsia="zh-CN"/>
        </w:rPr>
      </w:pPr>
      <w:r>
        <w:rPr>
          <w:rFonts w:hint="eastAsia"/>
          <w:b/>
          <w:bCs/>
          <w:color w:val="auto"/>
          <w:sz w:val="24"/>
          <w:szCs w:val="24"/>
          <w:highlight w:val="none"/>
        </w:rPr>
        <w:t>项目名称：</w:t>
      </w:r>
      <w:r>
        <w:rPr>
          <w:rFonts w:hint="eastAsia"/>
          <w:b w:val="0"/>
          <w:bCs w:val="0"/>
          <w:color w:val="auto"/>
          <w:sz w:val="24"/>
          <w:szCs w:val="24"/>
          <w:highlight w:val="none"/>
        </w:rPr>
        <w:t>丛生</w:t>
      </w:r>
      <w:r>
        <w:rPr>
          <w:rFonts w:hint="eastAsia"/>
          <w:b w:val="0"/>
          <w:bCs w:val="0"/>
          <w:color w:val="auto"/>
          <w:sz w:val="24"/>
          <w:szCs w:val="24"/>
          <w:highlight w:val="none"/>
          <w:lang w:val="en-US" w:eastAsia="zh-CN"/>
        </w:rPr>
        <w:t>竹材细胞壁化学及</w:t>
      </w:r>
      <w:r>
        <w:rPr>
          <w:rFonts w:hint="eastAsia"/>
          <w:color w:val="auto"/>
          <w:sz w:val="24"/>
          <w:szCs w:val="24"/>
          <w:highlight w:val="none"/>
          <w:lang w:val="en-US" w:eastAsia="zh-CN"/>
        </w:rPr>
        <w:t>酶解</w:t>
      </w:r>
      <w:r>
        <w:rPr>
          <w:rFonts w:hint="eastAsia"/>
          <w:color w:val="auto"/>
          <w:sz w:val="24"/>
          <w:szCs w:val="24"/>
          <w:highlight w:val="none"/>
        </w:rPr>
        <w:t>转化</w:t>
      </w:r>
      <w:r>
        <w:rPr>
          <w:rFonts w:hint="eastAsia"/>
          <w:color w:val="auto"/>
          <w:sz w:val="24"/>
          <w:szCs w:val="24"/>
          <w:highlight w:val="none"/>
          <w:lang w:val="en-US" w:eastAsia="zh-CN"/>
        </w:rPr>
        <w:t>增效调控机制</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color w:val="auto"/>
          <w:sz w:val="24"/>
          <w:szCs w:val="24"/>
          <w:highlight w:val="none"/>
        </w:rPr>
      </w:pPr>
      <w:r>
        <w:rPr>
          <w:rFonts w:hint="eastAsia"/>
          <w:b/>
          <w:bCs/>
          <w:color w:val="auto"/>
          <w:sz w:val="24"/>
          <w:szCs w:val="24"/>
          <w:highlight w:val="none"/>
        </w:rPr>
        <w:t>项目完成人：</w:t>
      </w:r>
      <w:r>
        <w:rPr>
          <w:rFonts w:hint="eastAsia"/>
          <w:color w:val="auto"/>
          <w:sz w:val="24"/>
          <w:szCs w:val="24"/>
          <w:highlight w:val="none"/>
        </w:rPr>
        <w:t>史正军、杨静、</w:t>
      </w:r>
      <w:r>
        <w:rPr>
          <w:rFonts w:hint="eastAsia"/>
          <w:color w:val="auto"/>
          <w:sz w:val="24"/>
          <w:szCs w:val="24"/>
          <w:highlight w:val="none"/>
          <w:lang w:val="en-US" w:eastAsia="zh-CN"/>
        </w:rPr>
        <w:t>彭锋、</w:t>
      </w:r>
      <w:r>
        <w:rPr>
          <w:rFonts w:hint="eastAsia"/>
          <w:color w:val="auto"/>
          <w:sz w:val="24"/>
          <w:szCs w:val="24"/>
          <w:highlight w:val="none"/>
        </w:rPr>
        <w:t>杨海艳、</w:t>
      </w:r>
      <w:r>
        <w:rPr>
          <w:rFonts w:hint="eastAsia"/>
          <w:color w:val="auto"/>
          <w:sz w:val="24"/>
          <w:szCs w:val="24"/>
          <w:highlight w:val="none"/>
          <w:lang w:val="en-US" w:eastAsia="zh-CN"/>
        </w:rPr>
        <w:t>文甲龙、</w:t>
      </w:r>
      <w:r>
        <w:rPr>
          <w:rFonts w:hint="eastAsia"/>
          <w:color w:val="auto"/>
          <w:sz w:val="24"/>
          <w:szCs w:val="24"/>
          <w:highlight w:val="none"/>
        </w:rPr>
        <w:t>邓佳、王大伟</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default" w:eastAsia="宋体"/>
          <w:color w:val="auto"/>
          <w:sz w:val="24"/>
          <w:szCs w:val="24"/>
          <w:highlight w:val="none"/>
          <w:lang w:val="en-US" w:eastAsia="zh-CN"/>
        </w:rPr>
      </w:pPr>
      <w:r>
        <w:rPr>
          <w:rFonts w:hint="eastAsia"/>
          <w:b/>
          <w:bCs/>
          <w:color w:val="auto"/>
          <w:sz w:val="24"/>
          <w:szCs w:val="24"/>
          <w:highlight w:val="none"/>
        </w:rPr>
        <w:t>项目完成单位：</w:t>
      </w:r>
      <w:r>
        <w:rPr>
          <w:rFonts w:hint="eastAsia"/>
          <w:color w:val="auto"/>
          <w:sz w:val="24"/>
          <w:szCs w:val="24"/>
          <w:highlight w:val="none"/>
        </w:rPr>
        <w:t>西南林业大学</w:t>
      </w:r>
      <w:r>
        <w:rPr>
          <w:rFonts w:hint="eastAsia"/>
          <w:color w:val="auto"/>
          <w:sz w:val="24"/>
          <w:szCs w:val="24"/>
          <w:highlight w:val="none"/>
          <w:lang w:eastAsia="zh-CN"/>
        </w:rPr>
        <w:t>、</w:t>
      </w:r>
      <w:r>
        <w:rPr>
          <w:rFonts w:hint="eastAsia"/>
          <w:color w:val="auto"/>
          <w:sz w:val="24"/>
          <w:szCs w:val="24"/>
          <w:highlight w:val="none"/>
          <w:lang w:val="en-US" w:eastAsia="zh-CN"/>
        </w:rPr>
        <w:t>北京林业大学</w:t>
      </w:r>
      <w:bookmarkStart w:id="4" w:name="_GoBack"/>
      <w:bookmarkEnd w:id="4"/>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color w:val="auto"/>
          <w:sz w:val="24"/>
          <w:szCs w:val="24"/>
        </w:rPr>
      </w:pPr>
      <w:r>
        <w:rPr>
          <w:rFonts w:hint="eastAsia"/>
          <w:b/>
          <w:bCs/>
          <w:color w:val="auto"/>
          <w:sz w:val="24"/>
          <w:szCs w:val="24"/>
        </w:rPr>
        <w:t>提名单位：</w:t>
      </w:r>
      <w:r>
        <w:rPr>
          <w:rFonts w:hint="eastAsia"/>
          <w:color w:val="auto"/>
          <w:sz w:val="24"/>
          <w:szCs w:val="24"/>
        </w:rPr>
        <w:t>西南林业大学</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color w:val="auto"/>
          <w:sz w:val="24"/>
          <w:szCs w:val="24"/>
        </w:rPr>
      </w:pPr>
      <w:r>
        <w:rPr>
          <w:rFonts w:hint="eastAsia"/>
          <w:b/>
          <w:bCs/>
          <w:color w:val="auto"/>
          <w:sz w:val="24"/>
          <w:szCs w:val="24"/>
        </w:rPr>
        <w:t>提名等级：</w:t>
      </w:r>
      <w:r>
        <w:rPr>
          <w:rFonts w:hint="eastAsia"/>
          <w:color w:val="auto"/>
          <w:sz w:val="24"/>
          <w:szCs w:val="24"/>
        </w:rPr>
        <w:t>云南省自然科学二等奖</w:t>
      </w:r>
    </w:p>
    <w:p>
      <w:pPr>
        <w:keepNext w:val="0"/>
        <w:keepLines w:val="0"/>
        <w:pageBreakBefore w:val="0"/>
        <w:widowControl/>
        <w:kinsoku/>
        <w:wordWrap/>
        <w:overflowPunct/>
        <w:topLinePunct w:val="0"/>
        <w:autoSpaceDE/>
        <w:autoSpaceDN/>
        <w:bidi w:val="0"/>
        <w:adjustRightInd w:val="0"/>
        <w:snapToGrid/>
        <w:spacing w:before="157" w:beforeLines="50" w:after="157" w:afterLines="50" w:line="360" w:lineRule="auto"/>
        <w:textAlignment w:val="auto"/>
        <w:rPr>
          <w:b/>
          <w:bCs/>
          <w:color w:val="auto"/>
          <w:sz w:val="24"/>
          <w:szCs w:val="24"/>
          <w:highlight w:val="none"/>
        </w:rPr>
      </w:pPr>
      <w:r>
        <w:rPr>
          <w:rFonts w:hint="eastAsia"/>
          <w:b/>
          <w:bCs/>
          <w:color w:val="auto"/>
          <w:sz w:val="24"/>
          <w:szCs w:val="24"/>
          <w:highlight w:val="none"/>
        </w:rPr>
        <w:t>二、项目简介</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auto"/>
        <w:rPr>
          <w:color w:val="auto"/>
          <w:sz w:val="24"/>
          <w:szCs w:val="24"/>
          <w:highlight w:val="none"/>
        </w:rPr>
      </w:pPr>
      <w:r>
        <w:rPr>
          <w:color w:val="auto"/>
          <w:sz w:val="24"/>
          <w:szCs w:val="24"/>
          <w:highlight w:val="none"/>
        </w:rPr>
        <w:t>1.</w:t>
      </w:r>
      <w:r>
        <w:rPr>
          <w:rFonts w:hint="eastAsia"/>
          <w:color w:val="auto"/>
          <w:sz w:val="24"/>
          <w:szCs w:val="24"/>
          <w:highlight w:val="none"/>
        </w:rPr>
        <w:t>任务来源</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auto"/>
        <w:rPr>
          <w:bCs/>
          <w:color w:val="auto"/>
          <w:sz w:val="24"/>
          <w:szCs w:val="24"/>
          <w:highlight w:val="none"/>
        </w:rPr>
      </w:pPr>
      <w:r>
        <w:rPr>
          <w:rFonts w:hint="eastAsia"/>
          <w:color w:val="auto"/>
          <w:sz w:val="24"/>
          <w:szCs w:val="24"/>
          <w:highlight w:val="none"/>
        </w:rPr>
        <w:t>该成果任务来源于国家自然科学基金项目</w:t>
      </w:r>
      <w:r>
        <w:rPr>
          <w:rFonts w:hint="eastAsia"/>
          <w:bCs/>
          <w:color w:val="auto"/>
          <w:sz w:val="24"/>
          <w:szCs w:val="24"/>
          <w:highlight w:val="none"/>
        </w:rPr>
        <w:t>“</w:t>
      </w:r>
      <w:r>
        <w:rPr>
          <w:bCs/>
          <w:color w:val="auto"/>
          <w:sz w:val="24"/>
          <w:szCs w:val="24"/>
          <w:highlight w:val="none"/>
        </w:rPr>
        <w:t>巨龙竹半纤维素、木质素结构诠释及相互间化学键合机制解析</w:t>
      </w:r>
      <w:r>
        <w:rPr>
          <w:rFonts w:hint="eastAsia"/>
          <w:bCs/>
          <w:color w:val="auto"/>
          <w:sz w:val="24"/>
          <w:szCs w:val="24"/>
          <w:highlight w:val="none"/>
        </w:rPr>
        <w:t>”（</w:t>
      </w:r>
      <w:r>
        <w:rPr>
          <w:bCs/>
          <w:color w:val="auto"/>
          <w:sz w:val="24"/>
          <w:szCs w:val="24"/>
          <w:highlight w:val="none"/>
        </w:rPr>
        <w:t>31260165</w:t>
      </w:r>
      <w:r>
        <w:rPr>
          <w:rFonts w:hint="eastAsia"/>
          <w:bCs/>
          <w:color w:val="auto"/>
          <w:sz w:val="24"/>
          <w:szCs w:val="24"/>
          <w:highlight w:val="none"/>
        </w:rPr>
        <w:t>）、</w:t>
      </w:r>
      <w:r>
        <w:rPr>
          <w:rFonts w:hint="eastAsia"/>
          <w:color w:val="auto"/>
          <w:sz w:val="24"/>
          <w:szCs w:val="24"/>
          <w:highlight w:val="none"/>
        </w:rPr>
        <w:t>“</w:t>
      </w:r>
      <w:r>
        <w:rPr>
          <w:bCs/>
          <w:color w:val="auto"/>
          <w:sz w:val="24"/>
          <w:szCs w:val="24"/>
          <w:highlight w:val="none"/>
        </w:rPr>
        <w:t>滇产大型竹材细胞壁组分高效拆分机制与分子结构研究</w:t>
      </w:r>
      <w:r>
        <w:rPr>
          <w:rFonts w:hint="eastAsia"/>
          <w:color w:val="auto"/>
          <w:sz w:val="24"/>
          <w:szCs w:val="24"/>
          <w:highlight w:val="none"/>
        </w:rPr>
        <w:t>”（</w:t>
      </w:r>
      <w:r>
        <w:rPr>
          <w:bCs/>
          <w:color w:val="auto"/>
          <w:sz w:val="24"/>
          <w:szCs w:val="24"/>
          <w:highlight w:val="none"/>
        </w:rPr>
        <w:t>31560195</w:t>
      </w:r>
      <w:r>
        <w:rPr>
          <w:rFonts w:hint="eastAsia"/>
          <w:color w:val="auto"/>
          <w:sz w:val="24"/>
          <w:szCs w:val="24"/>
          <w:highlight w:val="none"/>
        </w:rPr>
        <w:t>）</w:t>
      </w:r>
      <w:r>
        <w:rPr>
          <w:rFonts w:hint="eastAsia"/>
          <w:bCs/>
          <w:color w:val="auto"/>
          <w:sz w:val="24"/>
          <w:szCs w:val="24"/>
          <w:highlight w:val="none"/>
        </w:rPr>
        <w:t>、“</w:t>
      </w:r>
      <w:r>
        <w:rPr>
          <w:bCs/>
          <w:color w:val="auto"/>
          <w:sz w:val="24"/>
          <w:szCs w:val="24"/>
          <w:highlight w:val="none"/>
        </w:rPr>
        <w:t>高底物浓度木质纤维原料三段酶水解技术及其机制的研究</w:t>
      </w:r>
      <w:r>
        <w:rPr>
          <w:rFonts w:hint="eastAsia"/>
          <w:bCs/>
          <w:color w:val="auto"/>
          <w:sz w:val="24"/>
          <w:szCs w:val="24"/>
          <w:highlight w:val="none"/>
        </w:rPr>
        <w:t>”（</w:t>
      </w:r>
      <w:r>
        <w:rPr>
          <w:bCs/>
          <w:color w:val="auto"/>
          <w:sz w:val="24"/>
          <w:szCs w:val="24"/>
          <w:highlight w:val="none"/>
        </w:rPr>
        <w:t>31260162</w:t>
      </w:r>
      <w:r>
        <w:rPr>
          <w:rFonts w:hint="eastAsia"/>
          <w:bCs/>
          <w:color w:val="auto"/>
          <w:sz w:val="24"/>
          <w:szCs w:val="24"/>
          <w:highlight w:val="none"/>
        </w:rPr>
        <w:t>）、“</w:t>
      </w:r>
      <w:r>
        <w:rPr>
          <w:bCs/>
          <w:color w:val="auto"/>
          <w:sz w:val="24"/>
          <w:szCs w:val="24"/>
          <w:highlight w:val="none"/>
        </w:rPr>
        <w:t>具酶解增效作用的木质素多元功能因子体系构建及其机制解析</w:t>
      </w:r>
      <w:r>
        <w:rPr>
          <w:rFonts w:hint="eastAsia"/>
          <w:bCs/>
          <w:color w:val="auto"/>
          <w:sz w:val="24"/>
          <w:szCs w:val="24"/>
          <w:highlight w:val="none"/>
        </w:rPr>
        <w:t>”（</w:t>
      </w:r>
      <w:r>
        <w:rPr>
          <w:bCs/>
          <w:color w:val="auto"/>
          <w:sz w:val="24"/>
          <w:szCs w:val="24"/>
          <w:highlight w:val="none"/>
        </w:rPr>
        <w:t>31760194</w:t>
      </w:r>
      <w:r>
        <w:rPr>
          <w:rFonts w:hint="eastAsia"/>
          <w:bCs/>
          <w:color w:val="auto"/>
          <w:sz w:val="24"/>
          <w:szCs w:val="24"/>
          <w:highlight w:val="none"/>
        </w:rPr>
        <w:t>）和“</w:t>
      </w:r>
      <w:r>
        <w:rPr>
          <w:bCs/>
          <w:color w:val="auto"/>
          <w:sz w:val="24"/>
          <w:szCs w:val="24"/>
          <w:highlight w:val="none"/>
        </w:rPr>
        <w:t>木质纤维预处理耦合木质素结构原位修饰对纤维素糖化的增效机制</w:t>
      </w:r>
      <w:r>
        <w:rPr>
          <w:rFonts w:hint="eastAsia"/>
          <w:bCs/>
          <w:color w:val="auto"/>
          <w:sz w:val="24"/>
          <w:szCs w:val="24"/>
          <w:highlight w:val="none"/>
        </w:rPr>
        <w:t>”（</w:t>
      </w:r>
      <w:r>
        <w:rPr>
          <w:bCs/>
          <w:color w:val="auto"/>
          <w:sz w:val="24"/>
          <w:szCs w:val="24"/>
          <w:highlight w:val="none"/>
        </w:rPr>
        <w:t>32060329</w:t>
      </w:r>
      <w:r>
        <w:rPr>
          <w:rFonts w:hint="eastAsia"/>
          <w:bCs/>
          <w:color w:val="auto"/>
          <w:sz w:val="24"/>
          <w:szCs w:val="24"/>
          <w:highlight w:val="none"/>
        </w:rPr>
        <w:t>）,云南省应用基础研究计划重点项目“生物质预处理与木质素分子结构定向修饰对高固酶水解的协同调控机制”（</w:t>
      </w:r>
      <w:r>
        <w:rPr>
          <w:bCs/>
          <w:color w:val="auto"/>
          <w:sz w:val="24"/>
          <w:szCs w:val="24"/>
          <w:highlight w:val="none"/>
        </w:rPr>
        <w:t>2019FA014</w:t>
      </w:r>
      <w:r>
        <w:rPr>
          <w:rFonts w:hint="eastAsia"/>
          <w:bCs/>
          <w:color w:val="auto"/>
          <w:sz w:val="24"/>
          <w:szCs w:val="24"/>
          <w:highlight w:val="none"/>
        </w:rPr>
        <w:t>）和云南省农业基础研究联合专项“木质素多元化功能因子体系构建及其对木质纤维高固酶解的强化机制”（</w:t>
      </w:r>
      <w:r>
        <w:rPr>
          <w:bCs/>
          <w:color w:val="auto"/>
          <w:sz w:val="24"/>
          <w:szCs w:val="24"/>
          <w:highlight w:val="none"/>
        </w:rPr>
        <w:t>2017FG001(-025</w:t>
      </w:r>
      <w:r>
        <w:rPr>
          <w:rFonts w:hint="eastAsia"/>
          <w:bCs/>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2.</w:t>
      </w:r>
      <w:r>
        <w:rPr>
          <w:rFonts w:hint="eastAsia"/>
          <w:bCs/>
          <w:color w:val="auto"/>
          <w:sz w:val="24"/>
          <w:szCs w:val="24"/>
          <w:highlight w:val="none"/>
        </w:rPr>
        <w:t>科学发现</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auto"/>
        <w:rPr>
          <w:color w:val="auto"/>
          <w:sz w:val="24"/>
          <w:szCs w:val="24"/>
          <w:highlight w:val="none"/>
        </w:rPr>
      </w:pPr>
      <w:bookmarkStart w:id="0" w:name="_Hlk68774780"/>
      <w:r>
        <w:rPr>
          <w:color w:val="auto"/>
          <w:sz w:val="24"/>
          <w:szCs w:val="24"/>
          <w:highlight w:val="none"/>
        </w:rPr>
        <w:t>(1)</w:t>
      </w:r>
      <w:r>
        <w:rPr>
          <w:rFonts w:hint="eastAsia"/>
          <w:color w:val="auto"/>
          <w:sz w:val="24"/>
          <w:szCs w:val="24"/>
          <w:highlight w:val="none"/>
        </w:rPr>
        <w:t>首次对丛生竹材的细胞壁化学组成、纤维形态、木质素、半纤维素及它们之间的化学键合机制进行了系统研究。发现三种丛生竹综纤维素含量高，与毛竹、桉木等常用造纸原料接近，木质素含量略高于参比竹种，但比针叶材低，灰分含量低于常见的非木材纤维类原料，抽出物含量少</w:t>
      </w:r>
      <w:r>
        <w:rPr>
          <w:rFonts w:hint="eastAsia"/>
          <w:color w:val="auto"/>
          <w:sz w:val="24"/>
          <w:szCs w:val="24"/>
          <w:highlight w:val="none"/>
          <w:lang w:eastAsia="zh-CN"/>
        </w:rPr>
        <w:t>；</w:t>
      </w:r>
      <w:r>
        <w:rPr>
          <w:rFonts w:hint="eastAsia"/>
          <w:color w:val="auto"/>
          <w:sz w:val="24"/>
          <w:szCs w:val="24"/>
          <w:highlight w:val="none"/>
          <w:lang w:val="en-US" w:eastAsia="zh-CN"/>
        </w:rPr>
        <w:t>揭示了</w:t>
      </w:r>
      <w:r>
        <w:rPr>
          <w:rFonts w:hint="eastAsia"/>
          <w:color w:val="auto"/>
          <w:sz w:val="24"/>
          <w:szCs w:val="24"/>
          <w:highlight w:val="none"/>
        </w:rPr>
        <w:t>丛生竹细胞壁中木质素和半纤维素的分布与变化规律。</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auto"/>
        <w:rPr>
          <w:color w:val="auto"/>
          <w:sz w:val="24"/>
          <w:szCs w:val="24"/>
          <w:highlight w:val="none"/>
        </w:rPr>
      </w:pPr>
      <w:r>
        <w:rPr>
          <w:color w:val="auto"/>
          <w:sz w:val="24"/>
          <w:szCs w:val="24"/>
          <w:highlight w:val="none"/>
        </w:rPr>
        <w:t>(2)</w:t>
      </w:r>
      <w:r>
        <w:rPr>
          <w:rFonts w:hint="eastAsia"/>
          <w:color w:val="auto"/>
          <w:sz w:val="24"/>
          <w:szCs w:val="24"/>
          <w:highlight w:val="none"/>
        </w:rPr>
        <w:t>首次提出了原位改性活化丛生竹材木质素</w:t>
      </w:r>
      <w:r>
        <w:rPr>
          <w:color w:val="auto"/>
          <w:sz w:val="24"/>
          <w:szCs w:val="24"/>
          <w:highlight w:val="none"/>
        </w:rPr>
        <w:t>分子</w:t>
      </w:r>
      <w:r>
        <w:rPr>
          <w:rFonts w:hint="eastAsia"/>
          <w:color w:val="auto"/>
          <w:sz w:val="24"/>
          <w:szCs w:val="24"/>
          <w:highlight w:val="none"/>
        </w:rPr>
        <w:t>结构</w:t>
      </w:r>
      <w:r>
        <w:rPr>
          <w:color w:val="auto"/>
          <w:sz w:val="24"/>
          <w:szCs w:val="24"/>
          <w:highlight w:val="none"/>
        </w:rPr>
        <w:t>的新</w:t>
      </w:r>
      <w:r>
        <w:rPr>
          <w:rFonts w:hint="eastAsia"/>
          <w:color w:val="auto"/>
          <w:sz w:val="24"/>
          <w:szCs w:val="24"/>
          <w:highlight w:val="none"/>
        </w:rPr>
        <w:t>途径，构建了以具酶解增效作用的竹材木质素功能因子体系，</w:t>
      </w:r>
      <w:bookmarkStart w:id="1" w:name="_Hlk132875695"/>
      <w:r>
        <w:rPr>
          <w:rFonts w:hint="eastAsia"/>
          <w:color w:val="auto"/>
          <w:sz w:val="24"/>
          <w:szCs w:val="24"/>
          <w:highlight w:val="none"/>
        </w:rPr>
        <w:t>揭示了木质素分子结构对竹材生物化学转化的调控机制，为</w:t>
      </w:r>
      <w:r>
        <w:rPr>
          <w:rFonts w:hint="eastAsia"/>
          <w:color w:val="auto"/>
          <w:sz w:val="24"/>
          <w:szCs w:val="24"/>
          <w:highlight w:val="none"/>
          <w:lang w:val="en-US" w:eastAsia="zh-CN"/>
        </w:rPr>
        <w:t>实现</w:t>
      </w:r>
      <w:r>
        <w:rPr>
          <w:rFonts w:hint="eastAsia"/>
          <w:color w:val="auto"/>
          <w:sz w:val="24"/>
          <w:szCs w:val="24"/>
          <w:highlight w:val="none"/>
        </w:rPr>
        <w:t>丛生竹</w:t>
      </w:r>
      <w:r>
        <w:rPr>
          <w:color w:val="auto"/>
          <w:sz w:val="24"/>
          <w:szCs w:val="24"/>
          <w:highlight w:val="none"/>
        </w:rPr>
        <w:t>资源高值化利用的方法选择、技术控制、问题分析提供可靠的科学理论依据。</w:t>
      </w:r>
    </w:p>
    <w:bookmarkEnd w:id="1"/>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auto"/>
        <w:rPr>
          <w:color w:val="auto"/>
          <w:sz w:val="24"/>
          <w:szCs w:val="24"/>
          <w:highlight w:val="none"/>
        </w:rPr>
      </w:pPr>
      <w:r>
        <w:rPr>
          <w:color w:val="auto"/>
          <w:sz w:val="24"/>
          <w:szCs w:val="24"/>
          <w:highlight w:val="none"/>
        </w:rPr>
        <w:t>(3)</w:t>
      </w:r>
      <w:r>
        <w:rPr>
          <w:rFonts w:hint="eastAsia"/>
          <w:color w:val="auto"/>
          <w:sz w:val="24"/>
          <w:szCs w:val="24"/>
          <w:highlight w:val="none"/>
        </w:rPr>
        <w:t>创立</w:t>
      </w:r>
      <w:r>
        <w:rPr>
          <w:color w:val="auto"/>
          <w:sz w:val="24"/>
          <w:szCs w:val="24"/>
          <w:highlight w:val="none"/>
        </w:rPr>
        <w:t>了</w:t>
      </w:r>
      <w:r>
        <w:rPr>
          <w:rFonts w:hint="eastAsia"/>
          <w:color w:val="auto"/>
          <w:sz w:val="24"/>
          <w:szCs w:val="24"/>
          <w:highlight w:val="none"/>
        </w:rPr>
        <w:t>丛生竹材细胞壁</w:t>
      </w:r>
      <w:r>
        <w:rPr>
          <w:color w:val="auto"/>
          <w:sz w:val="24"/>
          <w:szCs w:val="24"/>
          <w:highlight w:val="none"/>
        </w:rPr>
        <w:t>组分有序拆分</w:t>
      </w:r>
      <w:r>
        <w:rPr>
          <w:rFonts w:hint="eastAsia"/>
          <w:color w:val="auto"/>
          <w:sz w:val="24"/>
          <w:szCs w:val="24"/>
          <w:highlight w:val="none"/>
        </w:rPr>
        <w:t>的</w:t>
      </w:r>
      <w:r>
        <w:rPr>
          <w:color w:val="auto"/>
          <w:sz w:val="24"/>
          <w:szCs w:val="24"/>
          <w:highlight w:val="none"/>
        </w:rPr>
        <w:t>技术体系，</w:t>
      </w:r>
      <w:r>
        <w:rPr>
          <w:rFonts w:hint="eastAsia"/>
          <w:color w:val="auto"/>
          <w:sz w:val="24"/>
          <w:szCs w:val="24"/>
          <w:highlight w:val="none"/>
        </w:rPr>
        <w:t>并阐明了拆解分离的机制。率先开创了以缩短糖化时间为目的</w:t>
      </w:r>
      <w:r>
        <w:rPr>
          <w:color w:val="auto"/>
          <w:sz w:val="24"/>
          <w:szCs w:val="24"/>
          <w:highlight w:val="none"/>
        </w:rPr>
        <w:t>高底物浓度</w:t>
      </w:r>
      <w:r>
        <w:rPr>
          <w:rFonts w:hint="eastAsia"/>
          <w:color w:val="auto"/>
          <w:sz w:val="24"/>
          <w:szCs w:val="24"/>
          <w:highlight w:val="none"/>
        </w:rPr>
        <w:t>竹材纤维</w:t>
      </w:r>
      <w:r>
        <w:rPr>
          <w:color w:val="auto"/>
          <w:sz w:val="24"/>
          <w:szCs w:val="24"/>
          <w:highlight w:val="none"/>
        </w:rPr>
        <w:t>原料</w:t>
      </w:r>
      <w:r>
        <w:rPr>
          <w:rFonts w:hint="eastAsia"/>
          <w:color w:val="auto"/>
          <w:sz w:val="24"/>
          <w:szCs w:val="24"/>
          <w:highlight w:val="none"/>
        </w:rPr>
        <w:t>分段</w:t>
      </w:r>
      <w:r>
        <w:rPr>
          <w:color w:val="auto"/>
          <w:sz w:val="24"/>
          <w:szCs w:val="24"/>
          <w:highlight w:val="none"/>
        </w:rPr>
        <w:t>酶</w:t>
      </w:r>
      <w:r>
        <w:rPr>
          <w:rFonts w:hint="eastAsia"/>
          <w:color w:val="auto"/>
          <w:sz w:val="24"/>
          <w:szCs w:val="24"/>
          <w:highlight w:val="none"/>
        </w:rPr>
        <w:t>解糖化</w:t>
      </w:r>
      <w:r>
        <w:rPr>
          <w:color w:val="auto"/>
          <w:sz w:val="24"/>
          <w:szCs w:val="24"/>
          <w:highlight w:val="none"/>
        </w:rPr>
        <w:t>技术</w:t>
      </w:r>
      <w:r>
        <w:rPr>
          <w:rFonts w:hint="eastAsia"/>
          <w:color w:val="auto"/>
          <w:sz w:val="24"/>
          <w:szCs w:val="24"/>
          <w:highlight w:val="none"/>
        </w:rPr>
        <w:t>，</w:t>
      </w:r>
      <w:bookmarkEnd w:id="0"/>
      <w:r>
        <w:rPr>
          <w:color w:val="auto"/>
          <w:sz w:val="24"/>
          <w:szCs w:val="24"/>
          <w:highlight w:val="none"/>
        </w:rPr>
        <w:t>实现多糖和木质素的高效增值利用，开发</w:t>
      </w:r>
      <w:r>
        <w:rPr>
          <w:rFonts w:hint="eastAsia"/>
          <w:color w:val="auto"/>
          <w:sz w:val="24"/>
          <w:szCs w:val="24"/>
          <w:highlight w:val="none"/>
        </w:rPr>
        <w:t>了</w:t>
      </w:r>
      <w:r>
        <w:rPr>
          <w:color w:val="auto"/>
          <w:sz w:val="24"/>
          <w:szCs w:val="24"/>
          <w:highlight w:val="none"/>
        </w:rPr>
        <w:t>绿色高效的竹材全组分生物精炼理论技术新体系</w:t>
      </w:r>
      <w:r>
        <w:rPr>
          <w:rFonts w:hint="eastAsia"/>
          <w:color w:val="auto"/>
          <w:sz w:val="24"/>
          <w:szCs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auto"/>
        <w:rPr>
          <w:color w:val="auto"/>
          <w:sz w:val="24"/>
          <w:szCs w:val="24"/>
          <w:highlight w:val="none"/>
        </w:rPr>
      </w:pPr>
      <w:r>
        <w:rPr>
          <w:rFonts w:hint="eastAsia"/>
          <w:color w:val="auto"/>
          <w:sz w:val="24"/>
          <w:szCs w:val="24"/>
          <w:highlight w:val="none"/>
        </w:rPr>
        <w:t>项目累计</w:t>
      </w:r>
      <w:r>
        <w:rPr>
          <w:color w:val="auto"/>
          <w:sz w:val="24"/>
          <w:szCs w:val="24"/>
          <w:highlight w:val="none"/>
        </w:rPr>
        <w:t>获批立项国家自然科学基金项目5项，发表学术论文</w:t>
      </w:r>
      <w:r>
        <w:rPr>
          <w:rFonts w:hint="eastAsia"/>
          <w:color w:val="auto"/>
          <w:sz w:val="24"/>
          <w:szCs w:val="24"/>
          <w:highlight w:val="none"/>
          <w:lang w:val="en-US" w:eastAsia="zh-CN"/>
        </w:rPr>
        <w:t>56</w:t>
      </w:r>
      <w:r>
        <w:rPr>
          <w:color w:val="auto"/>
          <w:sz w:val="24"/>
          <w:szCs w:val="24"/>
          <w:highlight w:val="none"/>
        </w:rPr>
        <w:t>篇（SCI收录</w:t>
      </w:r>
      <w:r>
        <w:rPr>
          <w:rFonts w:hint="eastAsia"/>
          <w:color w:val="auto"/>
          <w:sz w:val="24"/>
          <w:szCs w:val="24"/>
          <w:highlight w:val="none"/>
          <w:lang w:val="en-US" w:eastAsia="zh-CN"/>
        </w:rPr>
        <w:t>46</w:t>
      </w:r>
      <w:r>
        <w:rPr>
          <w:color w:val="auto"/>
          <w:sz w:val="24"/>
          <w:szCs w:val="24"/>
          <w:highlight w:val="none"/>
        </w:rPr>
        <w:t>篇），</w:t>
      </w:r>
      <w:r>
        <w:rPr>
          <w:rFonts w:hint="eastAsia"/>
          <w:color w:val="auto"/>
          <w:sz w:val="24"/>
          <w:szCs w:val="24"/>
          <w:highlight w:val="none"/>
        </w:rPr>
        <w:t>获授权中国发明专利</w:t>
      </w:r>
      <w:r>
        <w:rPr>
          <w:color w:val="auto"/>
          <w:sz w:val="24"/>
          <w:szCs w:val="24"/>
          <w:highlight w:val="none"/>
        </w:rPr>
        <w:t>2</w:t>
      </w:r>
      <w:r>
        <w:rPr>
          <w:rFonts w:hint="eastAsia"/>
          <w:color w:val="auto"/>
          <w:sz w:val="24"/>
          <w:szCs w:val="24"/>
          <w:highlight w:val="none"/>
        </w:rPr>
        <w:t>件，</w:t>
      </w:r>
      <w:r>
        <w:rPr>
          <w:color w:val="auto"/>
          <w:sz w:val="24"/>
          <w:szCs w:val="24"/>
          <w:highlight w:val="none"/>
        </w:rPr>
        <w:t>出版学术专著3部</w:t>
      </w:r>
      <w:r>
        <w:rPr>
          <w:rFonts w:hint="eastAsia"/>
          <w:color w:val="auto"/>
          <w:sz w:val="24"/>
          <w:szCs w:val="24"/>
          <w:highlight w:val="none"/>
          <w:lang w:eastAsia="zh-CN"/>
        </w:rPr>
        <w:t>，</w:t>
      </w:r>
      <w:r>
        <w:rPr>
          <w:rFonts w:hint="eastAsia"/>
          <w:color w:val="auto"/>
          <w:sz w:val="24"/>
          <w:szCs w:val="24"/>
          <w:highlight w:val="none"/>
          <w:lang w:val="en-US" w:eastAsia="zh-CN"/>
        </w:rPr>
        <w:t>2名成果完成人入选国家级人才项目、4人入选省部级人才项目。</w:t>
      </w:r>
    </w:p>
    <w:p>
      <w:pPr>
        <w:keepNext w:val="0"/>
        <w:keepLines w:val="0"/>
        <w:pageBreakBefore w:val="0"/>
        <w:widowControl/>
        <w:kinsoku/>
        <w:wordWrap/>
        <w:overflowPunct/>
        <w:topLinePunct w:val="0"/>
        <w:autoSpaceDE/>
        <w:autoSpaceDN/>
        <w:bidi w:val="0"/>
        <w:adjustRightInd w:val="0"/>
        <w:snapToGrid/>
        <w:spacing w:before="157" w:beforeLines="50" w:after="157" w:afterLines="50" w:line="360" w:lineRule="auto"/>
        <w:textAlignment w:val="auto"/>
        <w:rPr>
          <w:b/>
          <w:bCs/>
          <w:color w:val="auto"/>
          <w:sz w:val="24"/>
          <w:szCs w:val="24"/>
          <w:highlight w:val="none"/>
        </w:rPr>
      </w:pPr>
      <w:r>
        <w:rPr>
          <w:b/>
          <w:bCs/>
          <w:color w:val="auto"/>
          <w:sz w:val="24"/>
          <w:szCs w:val="24"/>
          <w:highlight w:val="none"/>
        </w:rPr>
        <w:t>三、主要完成人（完成单位）</w:t>
      </w:r>
    </w:p>
    <w:tbl>
      <w:tblPr>
        <w:tblStyle w:val="6"/>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374"/>
        <w:gridCol w:w="1800"/>
        <w:gridCol w:w="1452"/>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序号</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b/>
                <w:bCs/>
                <w:color w:val="auto"/>
                <w:sz w:val="24"/>
                <w:szCs w:val="24"/>
                <w:highlight w:val="none"/>
              </w:rPr>
            </w:pPr>
            <w:r>
              <w:rPr>
                <w:rFonts w:hint="eastAsia"/>
                <w:b/>
                <w:bCs/>
                <w:color w:val="auto"/>
                <w:sz w:val="24"/>
                <w:szCs w:val="24"/>
                <w:highlight w:val="none"/>
              </w:rPr>
              <w:t>姓名</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b/>
                <w:bCs/>
                <w:color w:val="auto"/>
                <w:sz w:val="24"/>
                <w:szCs w:val="24"/>
                <w:highlight w:val="none"/>
              </w:rPr>
            </w:pPr>
            <w:r>
              <w:rPr>
                <w:rFonts w:hint="eastAsia"/>
                <w:b/>
                <w:bCs/>
                <w:color w:val="auto"/>
                <w:sz w:val="24"/>
                <w:szCs w:val="24"/>
                <w:highlight w:val="none"/>
              </w:rPr>
              <w:t>职称</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b/>
                <w:bCs/>
                <w:color w:val="auto"/>
                <w:sz w:val="24"/>
                <w:szCs w:val="24"/>
                <w:highlight w:val="none"/>
              </w:rPr>
            </w:pPr>
            <w:r>
              <w:rPr>
                <w:rFonts w:hint="eastAsia"/>
                <w:b/>
                <w:bCs/>
                <w:color w:val="auto"/>
                <w:sz w:val="24"/>
                <w:szCs w:val="24"/>
                <w:highlight w:val="none"/>
              </w:rPr>
              <w:t>职务</w:t>
            </w:r>
          </w:p>
        </w:tc>
        <w:tc>
          <w:tcPr>
            <w:tcW w:w="2607" w:type="dxa"/>
          </w:tcPr>
          <w:p>
            <w:pPr>
              <w:keepNext w:val="0"/>
              <w:keepLines w:val="0"/>
              <w:pageBreakBefore w:val="0"/>
              <w:kinsoku/>
              <w:wordWrap/>
              <w:overflowPunct/>
              <w:topLinePunct w:val="0"/>
              <w:autoSpaceDE/>
              <w:autoSpaceDN/>
              <w:bidi w:val="0"/>
              <w:adjustRightInd w:val="0"/>
              <w:snapToGrid/>
              <w:spacing w:line="360" w:lineRule="auto"/>
              <w:textAlignment w:val="auto"/>
              <w:rPr>
                <w:b/>
                <w:bCs/>
                <w:color w:val="auto"/>
                <w:sz w:val="24"/>
                <w:szCs w:val="24"/>
                <w:highlight w:val="none"/>
              </w:rPr>
            </w:pPr>
            <w:r>
              <w:rPr>
                <w:rFonts w:hint="eastAsia"/>
                <w:b/>
                <w:bCs/>
                <w:color w:val="auto"/>
                <w:sz w:val="24"/>
                <w:szCs w:val="24"/>
                <w:highlight w:val="none"/>
              </w:rPr>
              <w:t>工作单位（完成单位）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史正军</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教授</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副处长</w:t>
            </w:r>
          </w:p>
        </w:tc>
        <w:tc>
          <w:tcPr>
            <w:tcW w:w="2607"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西南林业大学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杨</w:t>
            </w:r>
            <w:r>
              <w:rPr>
                <w:rFonts w:hint="eastAsia"/>
                <w:color w:val="auto"/>
                <w:sz w:val="24"/>
                <w:szCs w:val="24"/>
                <w:highlight w:val="none"/>
                <w:lang w:val="en-US" w:eastAsia="zh-CN"/>
              </w:rPr>
              <w:t xml:space="preserve">  </w:t>
            </w:r>
            <w:r>
              <w:rPr>
                <w:rFonts w:hint="eastAsia"/>
                <w:color w:val="auto"/>
                <w:sz w:val="24"/>
                <w:szCs w:val="24"/>
                <w:highlight w:val="none"/>
              </w:rPr>
              <w:t>静</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教授</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无</w:t>
            </w:r>
          </w:p>
        </w:tc>
        <w:tc>
          <w:tcPr>
            <w:tcW w:w="2607"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西南林业大学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3</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彭  锋</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教授</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院长</w:t>
            </w:r>
          </w:p>
        </w:tc>
        <w:tc>
          <w:tcPr>
            <w:tcW w:w="2607"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北京林业大学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4</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杨海艳</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副教授</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无</w:t>
            </w:r>
          </w:p>
        </w:tc>
        <w:tc>
          <w:tcPr>
            <w:tcW w:w="2607"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西南林业大学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5</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文甲龙</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教授</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无</w:t>
            </w:r>
          </w:p>
        </w:tc>
        <w:tc>
          <w:tcPr>
            <w:tcW w:w="2607"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color w:val="auto"/>
                <w:sz w:val="24"/>
                <w:szCs w:val="24"/>
                <w:highlight w:val="none"/>
              </w:rPr>
            </w:pPr>
            <w:r>
              <w:rPr>
                <w:rFonts w:hint="eastAsia"/>
                <w:color w:val="auto"/>
                <w:sz w:val="24"/>
                <w:szCs w:val="24"/>
                <w:highlight w:val="none"/>
                <w:lang w:val="en-US" w:eastAsia="zh-CN"/>
              </w:rPr>
              <w:t>北京林业大学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6</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邓</w:t>
            </w:r>
            <w:r>
              <w:rPr>
                <w:rFonts w:hint="eastAsia"/>
                <w:color w:val="auto"/>
                <w:sz w:val="24"/>
                <w:szCs w:val="24"/>
                <w:highlight w:val="none"/>
                <w:lang w:val="en-US" w:eastAsia="zh-CN"/>
              </w:rPr>
              <w:t xml:space="preserve">  </w:t>
            </w:r>
            <w:r>
              <w:rPr>
                <w:rFonts w:hint="eastAsia"/>
                <w:color w:val="auto"/>
                <w:sz w:val="24"/>
                <w:szCs w:val="24"/>
                <w:highlight w:val="none"/>
              </w:rPr>
              <w:t>佳</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教授</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无</w:t>
            </w:r>
          </w:p>
        </w:tc>
        <w:tc>
          <w:tcPr>
            <w:tcW w:w="2607"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西南林业大学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7</w:t>
            </w:r>
          </w:p>
        </w:tc>
        <w:tc>
          <w:tcPr>
            <w:tcW w:w="1374"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王大伟</w:t>
            </w:r>
          </w:p>
        </w:tc>
        <w:tc>
          <w:tcPr>
            <w:tcW w:w="1800"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副教授</w:t>
            </w:r>
          </w:p>
        </w:tc>
        <w:tc>
          <w:tcPr>
            <w:tcW w:w="1452"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无</w:t>
            </w:r>
          </w:p>
        </w:tc>
        <w:tc>
          <w:tcPr>
            <w:tcW w:w="2607" w:type="dxa"/>
          </w:tcPr>
          <w:p>
            <w:pPr>
              <w:keepNext w:val="0"/>
              <w:keepLines w:val="0"/>
              <w:pageBreakBefore w:val="0"/>
              <w:kinsoku/>
              <w:wordWrap/>
              <w:overflowPunct/>
              <w:topLinePunct w:val="0"/>
              <w:autoSpaceDE/>
              <w:autoSpaceDN/>
              <w:bidi w:val="0"/>
              <w:adjustRightInd w:val="0"/>
              <w:snapToGrid/>
              <w:spacing w:line="360" w:lineRule="auto"/>
              <w:jc w:val="center"/>
              <w:textAlignment w:val="auto"/>
              <w:rPr>
                <w:color w:val="auto"/>
                <w:sz w:val="24"/>
                <w:szCs w:val="24"/>
                <w:highlight w:val="none"/>
              </w:rPr>
            </w:pPr>
            <w:r>
              <w:rPr>
                <w:rFonts w:hint="eastAsia"/>
                <w:color w:val="auto"/>
                <w:sz w:val="24"/>
                <w:szCs w:val="24"/>
                <w:highlight w:val="none"/>
              </w:rPr>
              <w:t>西南林业大学</w:t>
            </w:r>
          </w:p>
        </w:tc>
      </w:tr>
    </w:tbl>
    <w:p>
      <w:pPr>
        <w:keepNext w:val="0"/>
        <w:keepLines w:val="0"/>
        <w:pageBreakBefore w:val="0"/>
        <w:widowControl/>
        <w:kinsoku/>
        <w:wordWrap/>
        <w:overflowPunct/>
        <w:topLinePunct w:val="0"/>
        <w:autoSpaceDE/>
        <w:autoSpaceDN/>
        <w:bidi w:val="0"/>
        <w:adjustRightInd w:val="0"/>
        <w:snapToGrid/>
        <w:spacing w:before="157" w:beforeLines="50" w:after="157" w:afterLines="50" w:line="360" w:lineRule="auto"/>
        <w:textAlignment w:val="auto"/>
        <w:rPr>
          <w:rFonts w:hint="default" w:eastAsia="宋体"/>
          <w:b/>
          <w:bCs/>
          <w:color w:val="auto"/>
          <w:sz w:val="24"/>
          <w:szCs w:val="24"/>
          <w:highlight w:val="none"/>
          <w:lang w:val="en-US" w:eastAsia="zh-CN"/>
        </w:rPr>
      </w:pPr>
      <w:r>
        <w:rPr>
          <w:rFonts w:hint="eastAsia"/>
          <w:b/>
          <w:bCs/>
          <w:color w:val="auto"/>
          <w:sz w:val="24"/>
          <w:szCs w:val="24"/>
          <w:highlight w:val="none"/>
        </w:rPr>
        <w:t>四、代表性</w:t>
      </w:r>
      <w:r>
        <w:rPr>
          <w:rFonts w:hint="eastAsia"/>
          <w:b/>
          <w:bCs/>
          <w:color w:val="auto"/>
          <w:sz w:val="24"/>
          <w:szCs w:val="24"/>
          <w:highlight w:val="none"/>
          <w:lang w:val="en-US" w:eastAsia="zh-CN"/>
        </w:rPr>
        <w:t>论文专著（8篇）</w:t>
      </w:r>
    </w:p>
    <w:p>
      <w:pPr>
        <w:keepNext w:val="0"/>
        <w:keepLines w:val="0"/>
        <w:pageBreakBefore w:val="0"/>
        <w:numPr>
          <w:ilvl w:val="0"/>
          <w:numId w:val="1"/>
        </w:numPr>
        <w:kinsoku/>
        <w:wordWrap/>
        <w:overflowPunct/>
        <w:topLinePunct w:val="0"/>
        <w:autoSpaceDE/>
        <w:autoSpaceDN/>
        <w:bidi w:val="0"/>
        <w:adjustRightInd w:val="0"/>
        <w:snapToGrid/>
        <w:spacing w:line="360" w:lineRule="auto"/>
        <w:ind w:left="425" w:leftChars="0" w:hanging="425" w:firstLineChars="0"/>
        <w:jc w:val="both"/>
        <w:textAlignment w:val="auto"/>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史正军，杨静，杨海艳</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rPr>
        <w:t>大型丛生竹材基础理化性质[M]</w:t>
      </w:r>
      <w:r>
        <w:rPr>
          <w:rFonts w:hint="eastAsia" w:ascii="Times New Roman" w:hAnsi="Times New Roman" w:cs="Times New Roman"/>
          <w:b w:val="0"/>
          <w:bCs w:val="0"/>
          <w:color w:val="auto"/>
          <w:sz w:val="24"/>
          <w:szCs w:val="24"/>
          <w:highlight w:val="none"/>
          <w:lang w:val="en-US" w:eastAsia="zh-CN"/>
        </w:rPr>
        <w:t>.</w:t>
      </w:r>
      <w:r>
        <w:rPr>
          <w:rFonts w:ascii="Times New Roman" w:hAnsi="Times New Roman" w:cs="Times New Roman"/>
          <w:b w:val="0"/>
          <w:bCs w:val="0"/>
          <w:color w:val="auto"/>
          <w:sz w:val="24"/>
          <w:szCs w:val="24"/>
          <w:highlight w:val="none"/>
        </w:rPr>
        <w:t xml:space="preserve"> 科学出版社，201</w:t>
      </w:r>
      <w:r>
        <w:rPr>
          <w:rFonts w:hint="eastAsia" w:ascii="Times New Roman" w:hAnsi="Times New Roman" w:cs="Times New Roman"/>
          <w:b w:val="0"/>
          <w:bCs w:val="0"/>
          <w:color w:val="auto"/>
          <w:sz w:val="24"/>
          <w:szCs w:val="24"/>
          <w:highlight w:val="none"/>
          <w:lang w:val="en-US" w:eastAsia="zh-CN"/>
        </w:rPr>
        <w:t>8</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t>ISBN 978</w:t>
      </w:r>
      <w:r>
        <w:rPr>
          <w:rFonts w:hint="eastAsia" w:ascii="Times New Roman" w:hAnsi="Times New Roman" w:cs="Times New Roman"/>
          <w:b w:val="0"/>
          <w:bCs w:val="0"/>
          <w:color w:val="auto"/>
          <w:sz w:val="24"/>
          <w:szCs w:val="24"/>
          <w:highlight w:val="none"/>
          <w:lang w:val="en-US" w:eastAsia="zh-CN"/>
        </w:rPr>
        <w:t>-</w:t>
      </w:r>
      <w:r>
        <w:rPr>
          <w:rFonts w:ascii="Times New Roman" w:hAnsi="Times New Roman" w:cs="Times New Roman"/>
          <w:b w:val="0"/>
          <w:bCs w:val="0"/>
          <w:color w:val="auto"/>
          <w:sz w:val="24"/>
          <w:szCs w:val="24"/>
          <w:highlight w:val="none"/>
        </w:rPr>
        <w:t>7</w:t>
      </w:r>
      <w:r>
        <w:rPr>
          <w:rFonts w:hint="eastAsia" w:ascii="Times New Roman" w:hAnsi="Times New Roman" w:cs="Times New Roman"/>
          <w:b w:val="0"/>
          <w:bCs w:val="0"/>
          <w:color w:val="auto"/>
          <w:sz w:val="24"/>
          <w:szCs w:val="24"/>
          <w:highlight w:val="none"/>
          <w:lang w:val="en-US" w:eastAsia="zh-CN"/>
        </w:rPr>
        <w:t>-</w:t>
      </w:r>
      <w:r>
        <w:rPr>
          <w:rFonts w:ascii="Times New Roman" w:hAnsi="Times New Roman" w:cs="Times New Roman"/>
          <w:b w:val="0"/>
          <w:bCs w:val="0"/>
          <w:color w:val="auto"/>
          <w:sz w:val="24"/>
          <w:szCs w:val="24"/>
          <w:highlight w:val="none"/>
        </w:rPr>
        <w:t>03055902-9.</w:t>
      </w:r>
    </w:p>
    <w:p>
      <w:pPr>
        <w:keepNext w:val="0"/>
        <w:keepLines w:val="0"/>
        <w:pageBreakBefore w:val="0"/>
        <w:numPr>
          <w:ilvl w:val="0"/>
          <w:numId w:val="1"/>
        </w:numPr>
        <w:kinsoku/>
        <w:wordWrap/>
        <w:overflowPunct/>
        <w:topLinePunct w:val="0"/>
        <w:autoSpaceDE/>
        <w:autoSpaceDN/>
        <w:bidi w:val="0"/>
        <w:adjustRightInd w:val="0"/>
        <w:snapToGrid/>
        <w:spacing w:line="360" w:lineRule="auto"/>
        <w:ind w:left="425" w:leftChars="0" w:hanging="425" w:firstLineChars="0"/>
        <w:jc w:val="both"/>
        <w:textAlignment w:val="auto"/>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杨静</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t>邓佳</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t>史正军</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rPr>
        <w:t>木质纤维生物质的酶解糖化技术</w:t>
      </w:r>
      <w:bookmarkStart w:id="2" w:name="_Hlk133132377"/>
      <w:r>
        <w:rPr>
          <w:rFonts w:ascii="Times New Roman" w:hAnsi="Times New Roman" w:cs="Times New Roman"/>
          <w:b w:val="0"/>
          <w:bCs w:val="0"/>
          <w:color w:val="auto"/>
          <w:sz w:val="24"/>
          <w:szCs w:val="24"/>
          <w:highlight w:val="none"/>
        </w:rPr>
        <w:t>[M]</w:t>
      </w:r>
      <w:bookmarkEnd w:id="2"/>
      <w:r>
        <w:rPr>
          <w:rFonts w:hint="eastAsia" w:ascii="Times New Roman" w:hAnsi="Times New Roman" w:cs="Times New Roman"/>
          <w:b w:val="0"/>
          <w:bCs w:val="0"/>
          <w:color w:val="auto"/>
          <w:sz w:val="24"/>
          <w:szCs w:val="24"/>
          <w:highlight w:val="none"/>
          <w:lang w:val="en-US" w:eastAsia="zh-CN"/>
        </w:rPr>
        <w:t>.</w:t>
      </w:r>
      <w:r>
        <w:rPr>
          <w:rFonts w:ascii="Times New Roman" w:hAnsi="Times New Roman" w:cs="Times New Roman"/>
          <w:b w:val="0"/>
          <w:bCs w:val="0"/>
          <w:color w:val="auto"/>
          <w:sz w:val="24"/>
          <w:szCs w:val="24"/>
          <w:highlight w:val="none"/>
        </w:rPr>
        <w:t xml:space="preserve"> 化学工业出版社，2018</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t>ISBN 978-7-122-32076-6.</w:t>
      </w:r>
    </w:p>
    <w:p>
      <w:pPr>
        <w:keepNext w:val="0"/>
        <w:keepLines w:val="0"/>
        <w:pageBreakBefore w:val="0"/>
        <w:numPr>
          <w:ilvl w:val="0"/>
          <w:numId w:val="1"/>
        </w:numPr>
        <w:kinsoku/>
        <w:wordWrap/>
        <w:overflowPunct/>
        <w:topLinePunct w:val="0"/>
        <w:autoSpaceDE/>
        <w:autoSpaceDN/>
        <w:bidi w:val="0"/>
        <w:adjustRightInd w:val="0"/>
        <w:snapToGrid/>
        <w:spacing w:line="360" w:lineRule="auto"/>
        <w:ind w:left="425" w:leftChars="0" w:hanging="425" w:firstLineChars="0"/>
        <w:jc w:val="both"/>
        <w:textAlignment w:val="auto"/>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Kai Wu, Zhengjun Shi, Haiyan Yang, Zhengdiao Liao, Jing Yang</w:t>
      </w:r>
      <w:r>
        <w:rPr>
          <w:rFonts w:hint="eastAsia" w:ascii="Times New Roman" w:hAnsi="Times New Roman" w:cs="Times New Roman"/>
          <w:b w:val="0"/>
          <w:bCs w:val="0"/>
          <w:color w:val="auto"/>
          <w:sz w:val="24"/>
          <w:szCs w:val="24"/>
          <w:highlight w:val="none"/>
          <w:vertAlign w:val="baseline"/>
          <w:lang w:val="en-US" w:eastAsia="zh-CN"/>
        </w:rPr>
        <w:t>*</w:t>
      </w:r>
      <w:r>
        <w:rPr>
          <w:rFonts w:ascii="Times New Roman" w:hAnsi="Times New Roman" w:cs="Times New Roman"/>
          <w:b w:val="0"/>
          <w:bCs w:val="0"/>
          <w:color w:val="auto"/>
          <w:sz w:val="24"/>
          <w:szCs w:val="24"/>
          <w:highlight w:val="none"/>
        </w:rPr>
        <w:t>. Effect of Ethanol Organosolv Lignin from Bamboo on Enzymatic Hydrolysis of Avicel[J]. ACS Sustainable Chemistry &amp; Engineering, 2017, 5(2):1721-1729.</w:t>
      </w:r>
    </w:p>
    <w:p>
      <w:pPr>
        <w:keepNext w:val="0"/>
        <w:keepLines w:val="0"/>
        <w:pageBreakBefore w:val="0"/>
        <w:numPr>
          <w:ilvl w:val="0"/>
          <w:numId w:val="1"/>
        </w:numPr>
        <w:kinsoku/>
        <w:wordWrap/>
        <w:overflowPunct/>
        <w:topLinePunct w:val="0"/>
        <w:autoSpaceDE/>
        <w:autoSpaceDN/>
        <w:bidi w:val="0"/>
        <w:adjustRightInd w:val="0"/>
        <w:snapToGrid/>
        <w:spacing w:line="360" w:lineRule="auto"/>
        <w:ind w:left="425" w:leftChars="0" w:hanging="425" w:firstLineChars="0"/>
        <w:jc w:val="both"/>
        <w:textAlignment w:val="auto"/>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lang w:val="en-US" w:eastAsia="zh-CN"/>
        </w:rPr>
        <w:t>Kai Wu,</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Wenjun Ying,</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Zhengjun Shi,</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Haiyan Yang,</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Zhifeng Zheng,</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Jiayan Zhang</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Jing Yang</w:t>
      </w:r>
      <w:r>
        <w:rPr>
          <w:rFonts w:hint="eastAsia" w:ascii="Times New Roman" w:hAnsi="Times New Roman" w:cs="Times New Roman"/>
          <w:b w:val="0"/>
          <w:bCs w:val="0"/>
          <w:color w:val="auto"/>
          <w:sz w:val="24"/>
          <w:szCs w:val="24"/>
          <w:highlight w:val="none"/>
          <w:vertAlign w:val="baseline"/>
          <w:lang w:val="en-US" w:eastAsia="zh-CN"/>
        </w:rPr>
        <w:t>*</w:t>
      </w:r>
      <w:r>
        <w:rPr>
          <w:rFonts w:ascii="Times New Roman" w:hAnsi="Times New Roman" w:cs="Times New Roman"/>
          <w:b w:val="0"/>
          <w:bCs w:val="0"/>
          <w:color w:val="auto"/>
          <w:sz w:val="24"/>
          <w:szCs w:val="24"/>
          <w:highlight w:val="none"/>
        </w:rPr>
        <w:t xml:space="preserve">. Fenton reaction-oxidized bamboo lignin surface and structural modification to reduce nonproductive cellulase binding and improve enzyme digestion of cellulose[J]. </w:t>
      </w:r>
      <w:bookmarkStart w:id="3" w:name="_Hlk133134771"/>
      <w:r>
        <w:rPr>
          <w:rFonts w:ascii="Times New Roman" w:hAnsi="Times New Roman" w:cs="Times New Roman"/>
          <w:b w:val="0"/>
          <w:bCs w:val="0"/>
          <w:color w:val="auto"/>
          <w:sz w:val="24"/>
          <w:szCs w:val="24"/>
          <w:highlight w:val="none"/>
        </w:rPr>
        <w:t>ACS Sustainable Chemistry &amp; Engineering, 2018, 6(3):3853-3861.</w:t>
      </w:r>
    </w:p>
    <w:bookmarkEnd w:id="3"/>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25" w:leftChars="0" w:hanging="425" w:firstLineChars="0"/>
        <w:jc w:val="both"/>
        <w:textAlignment w:val="auto"/>
        <w:rPr>
          <w:rFonts w:ascii="Times New Roman" w:hAnsi="Times New Roman" w:cs="Times New Roman"/>
          <w:b w:val="0"/>
          <w:bCs w:val="0"/>
          <w:color w:val="auto"/>
          <w:kern w:val="2"/>
          <w:sz w:val="24"/>
          <w:szCs w:val="24"/>
          <w:highlight w:val="none"/>
        </w:rPr>
      </w:pPr>
      <w:r>
        <w:rPr>
          <w:rFonts w:ascii="Times New Roman" w:hAnsi="Times New Roman" w:cs="Times New Roman"/>
          <w:b w:val="0"/>
          <w:bCs w:val="0"/>
          <w:color w:val="auto"/>
          <w:kern w:val="2"/>
          <w:sz w:val="24"/>
          <w:szCs w:val="24"/>
          <w:highlight w:val="none"/>
        </w:rPr>
        <w:t>Haiyan Yang, Zhengjun Shi</w:t>
      </w:r>
      <w:r>
        <w:rPr>
          <w:rFonts w:hint="eastAsia" w:ascii="Times New Roman" w:hAnsi="Times New Roman" w:cs="Times New Roman"/>
          <w:b w:val="0"/>
          <w:bCs w:val="0"/>
          <w:color w:val="auto"/>
          <w:sz w:val="24"/>
          <w:szCs w:val="24"/>
          <w:highlight w:val="none"/>
          <w:vertAlign w:val="baseline"/>
          <w:lang w:val="en-US" w:eastAsia="zh-CN"/>
        </w:rPr>
        <w:t>*</w:t>
      </w:r>
      <w:r>
        <w:rPr>
          <w:rFonts w:ascii="Times New Roman" w:hAnsi="Times New Roman" w:cs="Times New Roman"/>
          <w:b w:val="0"/>
          <w:bCs w:val="0"/>
          <w:color w:val="auto"/>
          <w:kern w:val="2"/>
          <w:sz w:val="24"/>
          <w:szCs w:val="24"/>
          <w:highlight w:val="none"/>
        </w:rPr>
        <w:t>, Gaofeng Xu, Yongjian Qin, Jia Deng, Jing Yang. Bioethanol production from bamboo with alkali-catalyzed liquid hot water pretreatment[J]. Bioresource Technology, 2019, 274:261-266.</w:t>
      </w:r>
    </w:p>
    <w:p>
      <w:pPr>
        <w:keepNext w:val="0"/>
        <w:keepLines w:val="0"/>
        <w:pageBreakBefore w:val="0"/>
        <w:numPr>
          <w:ilvl w:val="0"/>
          <w:numId w:val="1"/>
        </w:numPr>
        <w:kinsoku/>
        <w:wordWrap/>
        <w:overflowPunct/>
        <w:topLinePunct w:val="0"/>
        <w:autoSpaceDE/>
        <w:autoSpaceDN/>
        <w:bidi w:val="0"/>
        <w:adjustRightInd w:val="0"/>
        <w:snapToGrid/>
        <w:spacing w:line="360" w:lineRule="auto"/>
        <w:ind w:left="425" w:leftChars="0" w:hanging="425" w:firstLineChars="0"/>
        <w:jc w:val="both"/>
        <w:textAlignment w:val="auto"/>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lang w:val="en-US" w:eastAsia="zh-CN"/>
        </w:rPr>
        <w:t>Gaofeng Xu</w:t>
      </w:r>
      <w:r>
        <w:rPr>
          <w:rFonts w:hint="default" w:ascii="Times New Roman" w:hAnsi="Times New Roman" w:cs="Times New Roman"/>
          <w:b w:val="0"/>
          <w:bCs w:val="0"/>
          <w:color w:val="auto"/>
          <w:sz w:val="24"/>
          <w:szCs w:val="24"/>
          <w:highlight w:val="none"/>
          <w:lang w:val="en-US" w:eastAsia="zh-CN"/>
        </w:rPr>
        <w:t>, Zhengjun Shi</w:t>
      </w:r>
      <w:r>
        <w:rPr>
          <w:rFonts w:hint="eastAsia" w:ascii="Times New Roman" w:hAnsi="Times New Roman" w:cs="Times New Roman"/>
          <w:b w:val="0"/>
          <w:bCs w:val="0"/>
          <w:color w:val="auto"/>
          <w:sz w:val="24"/>
          <w:szCs w:val="24"/>
          <w:highlight w:val="none"/>
          <w:vertAlign w:val="baseline"/>
          <w:lang w:val="en-US" w:eastAsia="zh-CN"/>
        </w:rPr>
        <w:t>*</w:t>
      </w:r>
      <w:r>
        <w:rPr>
          <w:rFonts w:hint="default" w:ascii="Times New Roman" w:hAnsi="Times New Roman" w:cs="Times New Roman"/>
          <w:b w:val="0"/>
          <w:bCs w:val="0"/>
          <w:color w:val="auto"/>
          <w:sz w:val="24"/>
          <w:szCs w:val="24"/>
          <w:highlight w:val="none"/>
          <w:lang w:val="en-US" w:eastAsia="zh-CN"/>
        </w:rPr>
        <w:t>, Yihe Zhao, Jia Deng, Mengyao Dong, Chuntai Liu, Vignesh Murugadoss, Xianmin Mai, Zhanhu Guo</w:t>
      </w:r>
      <w:r>
        <w:rPr>
          <w:rFonts w:hint="eastAsia" w:ascii="Times New Roman" w:hAnsi="Times New Roman" w:cs="Times New Roman"/>
          <w:b w:val="0"/>
          <w:bCs w:val="0"/>
          <w:color w:val="auto"/>
          <w:sz w:val="24"/>
          <w:szCs w:val="24"/>
          <w:highlight w:val="none"/>
          <w:vertAlign w:val="baseline"/>
          <w:lang w:val="en-US" w:eastAsia="zh-CN"/>
        </w:rPr>
        <w:t>*</w:t>
      </w:r>
      <w:r>
        <w:rPr>
          <w:rFonts w:hint="eastAsia" w:ascii="AdvTT5235d5a9 + 20" w:hAnsi="AdvTT5235d5a9 + 20" w:eastAsia="AdvTT5235d5a9 + 20" w:cs="AdvTT5235d5a9 + 20"/>
          <w:color w:val="2E3092"/>
          <w:kern w:val="0"/>
          <w:sz w:val="23"/>
          <w:szCs w:val="23"/>
          <w:highlight w:val="none"/>
          <w:lang w:val="en-US" w:eastAsia="zh-CN" w:bidi="ar"/>
        </w:rPr>
        <w:t xml:space="preserve">. </w:t>
      </w:r>
      <w:r>
        <w:rPr>
          <w:rFonts w:ascii="Times New Roman" w:hAnsi="Times New Roman" w:cs="Times New Roman"/>
          <w:b w:val="0"/>
          <w:bCs w:val="0"/>
          <w:color w:val="auto"/>
          <w:sz w:val="24"/>
          <w:szCs w:val="24"/>
          <w:highlight w:val="none"/>
        </w:rPr>
        <w:t>Structural characterization of lignin and its carbohydrate complexes isolated from bamboo (</w:t>
      </w:r>
      <w:r>
        <w:rPr>
          <w:rFonts w:ascii="Times New Roman" w:hAnsi="Times New Roman" w:cs="Times New Roman"/>
          <w:b w:val="0"/>
          <w:bCs w:val="0"/>
          <w:i/>
          <w:iCs/>
          <w:color w:val="auto"/>
          <w:sz w:val="24"/>
          <w:szCs w:val="24"/>
          <w:highlight w:val="none"/>
        </w:rPr>
        <w:t>Dendrocalamus sinicus</w:t>
      </w:r>
      <w:r>
        <w:rPr>
          <w:rFonts w:ascii="Times New Roman" w:hAnsi="Times New Roman" w:cs="Times New Roman"/>
          <w:b w:val="0"/>
          <w:bCs w:val="0"/>
          <w:color w:val="auto"/>
          <w:sz w:val="24"/>
          <w:szCs w:val="24"/>
          <w:highlight w:val="none"/>
        </w:rPr>
        <w:t>) [J]. International journal of biological macromolecules, 2019, 126:376-384.</w:t>
      </w:r>
    </w:p>
    <w:p>
      <w:pPr>
        <w:keepNext w:val="0"/>
        <w:keepLines w:val="0"/>
        <w:widowControl/>
        <w:numPr>
          <w:ilvl w:val="0"/>
          <w:numId w:val="1"/>
        </w:numPr>
        <w:suppressLineNumbers w:val="0"/>
        <w:spacing w:line="360" w:lineRule="auto"/>
        <w:ind w:left="425" w:leftChars="0" w:hanging="425" w:firstLineChars="0"/>
        <w:jc w:val="both"/>
        <w:rPr>
          <w:rFonts w:hint="eastAsia" w:ascii="Times New Roman" w:hAnsi="Times New Roman" w:cs="Times New Roman"/>
          <w:b w:val="0"/>
          <w:bCs w:val="0"/>
          <w:color w:val="auto"/>
          <w:sz w:val="24"/>
          <w:szCs w:val="24"/>
          <w:highlight w:val="none"/>
          <w:lang w:val="en-US" w:eastAsia="zh-CN"/>
        </w:rPr>
      </w:pPr>
      <w:r>
        <w:rPr>
          <w:rFonts w:ascii="Times New Roman" w:hAnsi="Times New Roman" w:cs="Times New Roman"/>
          <w:b w:val="0"/>
          <w:bCs w:val="0"/>
          <w:color w:val="auto"/>
          <w:sz w:val="24"/>
          <w:szCs w:val="24"/>
          <w:highlight w:val="none"/>
          <w:lang w:val="en-US" w:eastAsia="zh-CN"/>
        </w:rPr>
        <w:t>Pan-Pan Yue,</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Gen-Que Fu,</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Ya-Jie Hu,</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Jing Bian,</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Ming-Fei Li,</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Zheng-Jun Shi,</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Feng Peng</w:t>
      </w:r>
      <w:r>
        <w:rPr>
          <w:rFonts w:hint="eastAsia" w:ascii="Times New Roman" w:hAnsi="Times New Roman" w:cs="Times New Roman"/>
          <w:b w:val="0"/>
          <w:bCs w:val="0"/>
          <w:color w:val="auto"/>
          <w:sz w:val="24"/>
          <w:szCs w:val="24"/>
          <w:highlight w:val="none"/>
          <w:vertAlign w:val="baseline"/>
          <w:lang w:val="en-US" w:eastAsia="zh-CN"/>
        </w:rPr>
        <w:t>*</w:t>
      </w:r>
      <w:r>
        <w:rPr>
          <w:rFonts w:ascii="Times New Roman" w:hAnsi="Times New Roman"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rPr>
        <w:t>Changes of Chemical Composition and Hemicelluloses Structure in Differently Aged Bamboo (</w:t>
      </w:r>
      <w:r>
        <w:rPr>
          <w:rFonts w:ascii="Times New Roman" w:hAnsi="Times New Roman" w:cs="Times New Roman"/>
          <w:b w:val="0"/>
          <w:bCs w:val="0"/>
          <w:i/>
          <w:iCs/>
          <w:color w:val="auto"/>
          <w:sz w:val="24"/>
          <w:szCs w:val="24"/>
          <w:highlight w:val="none"/>
        </w:rPr>
        <w:t>Neosinocalamus affinis</w:t>
      </w:r>
      <w:r>
        <w:rPr>
          <w:rFonts w:ascii="Times New Roman" w:hAnsi="Times New Roman" w:cs="Times New Roman"/>
          <w:b w:val="0"/>
          <w:bCs w:val="0"/>
          <w:color w:val="auto"/>
          <w:sz w:val="24"/>
          <w:szCs w:val="24"/>
          <w:highlight w:val="none"/>
        </w:rPr>
        <w:t>) Culms</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rPr>
        <w:t>[J].</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rPr>
        <w:t>Journal of Agricultural &amp; Food Chemistry,</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lang w:val="en-US" w:eastAsia="zh-CN"/>
        </w:rPr>
        <w:t>2018, 66</w:t>
      </w:r>
      <w:r>
        <w:rPr>
          <w:rFonts w:hint="eastAsia" w:ascii="Times New Roman" w:hAnsi="Times New Roman" w:cs="Times New Roman"/>
          <w:b w:val="0"/>
          <w:bCs w:val="0"/>
          <w:color w:val="auto"/>
          <w:sz w:val="24"/>
          <w:szCs w:val="24"/>
          <w:highlight w:val="none"/>
          <w:lang w:val="en-US" w:eastAsia="zh-CN"/>
        </w:rPr>
        <w:t>:</w:t>
      </w:r>
      <w:r>
        <w:rPr>
          <w:rFonts w:ascii="Times New Roman" w:hAnsi="Times New Roman" w:cs="Times New Roman"/>
          <w:b w:val="0"/>
          <w:bCs w:val="0"/>
          <w:color w:val="auto"/>
          <w:sz w:val="24"/>
          <w:szCs w:val="24"/>
          <w:highlight w:val="none"/>
          <w:lang w:val="en-US" w:eastAsia="zh-CN"/>
        </w:rPr>
        <w:t>9199</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9208</w:t>
      </w:r>
      <w:r>
        <w:rPr>
          <w:rFonts w:hint="eastAsia" w:ascii="Times New Roman" w:hAnsi="Times New Roman" w:cs="Times New Roman"/>
          <w:b w:val="0"/>
          <w:bCs w:val="0"/>
          <w:color w:val="auto"/>
          <w:sz w:val="24"/>
          <w:szCs w:val="24"/>
          <w:highlight w:val="none"/>
          <w:lang w:val="en-US" w:eastAsia="zh-CN"/>
        </w:rPr>
        <w:t>.</w:t>
      </w:r>
    </w:p>
    <w:p>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b w:val="0"/>
          <w:bCs w:val="0"/>
          <w:color w:val="auto"/>
          <w:sz w:val="24"/>
          <w:szCs w:val="24"/>
          <w:highlight w:val="none"/>
          <w:lang w:val="en-US" w:eastAsia="zh-CN"/>
        </w:rPr>
      </w:pPr>
      <w:r>
        <w:rPr>
          <w:rFonts w:ascii="Times New Roman" w:hAnsi="Times New Roman" w:cs="Times New Roman"/>
          <w:b w:val="0"/>
          <w:bCs w:val="0"/>
          <w:color w:val="auto"/>
          <w:sz w:val="24"/>
          <w:szCs w:val="24"/>
          <w:highlight w:val="none"/>
          <w:lang w:val="en-US" w:eastAsia="zh-CN"/>
        </w:rPr>
        <w:t>Jia-Long Wen, Shao-Long Sun, Bai-Liang Xue, Run-Cang Sun</w:t>
      </w:r>
      <w:r>
        <w:rPr>
          <w:rFonts w:hint="eastAsia" w:ascii="Times New Roman" w:hAnsi="Times New Roman" w:cs="Times New Roman"/>
          <w:b w:val="0"/>
          <w:bCs w:val="0"/>
          <w:color w:val="auto"/>
          <w:sz w:val="24"/>
          <w:szCs w:val="24"/>
          <w:highlight w:val="none"/>
          <w:vertAlign w:val="baseline"/>
          <w:lang w:val="en-US" w:eastAsia="zh-CN"/>
        </w:rPr>
        <w:t>*</w:t>
      </w:r>
      <w:r>
        <w:rPr>
          <w:rFonts w:ascii="Times New Roman" w:hAnsi="Times New Roman"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lang w:val="en-US" w:eastAsia="zh-CN"/>
        </w:rPr>
        <w:t>Structural elucidation of inhomogeneous lignins from bamboo</w:t>
      </w:r>
      <w:r>
        <w:rPr>
          <w:rFonts w:hint="eastAsia"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rPr>
        <w:t>[J]</w:t>
      </w:r>
      <w:r>
        <w:rPr>
          <w:rFonts w:hint="eastAsia" w:ascii="Times New Roman" w:hAnsi="Times New Roman" w:cs="Times New Roman"/>
          <w:b w:val="0"/>
          <w:bCs w:val="0"/>
          <w:color w:val="auto"/>
          <w:sz w:val="24"/>
          <w:szCs w:val="24"/>
          <w:highlight w:val="none"/>
          <w:lang w:val="en-US" w:eastAsia="zh-CN"/>
        </w:rPr>
        <w:t>.</w:t>
      </w:r>
      <w:r>
        <w:rPr>
          <w:rFonts w:ascii="Times New Roman" w:hAnsi="Times New Roman" w:cs="Times New Roman"/>
          <w:b w:val="0"/>
          <w:bCs w:val="0"/>
          <w:color w:val="auto"/>
          <w:sz w:val="24"/>
          <w:szCs w:val="24"/>
          <w:highlight w:val="none"/>
          <w:lang w:val="en-US" w:eastAsia="zh-CN"/>
        </w:rPr>
        <w:t xml:space="preserve"> </w:t>
      </w:r>
      <w:r>
        <w:rPr>
          <w:rFonts w:ascii="Times New Roman" w:hAnsi="Times New Roman" w:cs="Times New Roman"/>
          <w:b w:val="0"/>
          <w:bCs w:val="0"/>
          <w:color w:val="auto"/>
          <w:sz w:val="24"/>
          <w:szCs w:val="24"/>
          <w:highlight w:val="none"/>
        </w:rPr>
        <w:t>International journal of biological macromolecules,</w:t>
      </w:r>
      <w:r>
        <w:rPr>
          <w:rFonts w:ascii="Times New Roman" w:hAnsi="Times New Roman" w:cs="Times New Roman"/>
          <w:b w:val="0"/>
          <w:bCs w:val="0"/>
          <w:color w:val="auto"/>
          <w:sz w:val="24"/>
          <w:szCs w:val="24"/>
          <w:highlight w:val="none"/>
          <w:lang w:val="en-US" w:eastAsia="zh-CN"/>
        </w:rPr>
        <w:t xml:space="preserve"> 2015, 77</w:t>
      </w:r>
      <w:r>
        <w:rPr>
          <w:rFonts w:hint="eastAsia" w:ascii="Times New Roman" w:hAnsi="Times New Roman" w:cs="Times New Roman"/>
          <w:b w:val="0"/>
          <w:bCs w:val="0"/>
          <w:color w:val="auto"/>
          <w:sz w:val="24"/>
          <w:szCs w:val="24"/>
          <w:highlight w:val="none"/>
          <w:lang w:val="en-US" w:eastAsia="zh-CN"/>
        </w:rPr>
        <w:t>:</w:t>
      </w:r>
      <w:r>
        <w:rPr>
          <w:rFonts w:ascii="Times New Roman" w:hAnsi="Times New Roman" w:cs="Times New Roman"/>
          <w:b w:val="0"/>
          <w:bCs w:val="0"/>
          <w:color w:val="auto"/>
          <w:sz w:val="24"/>
          <w:szCs w:val="24"/>
          <w:highlight w:val="none"/>
          <w:lang w:val="en-US" w:eastAsia="zh-CN"/>
        </w:rPr>
        <w:t>250-259.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vTT5235d5a9 + 2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3CFA9"/>
    <w:multiLevelType w:val="singleLevel"/>
    <w:tmpl w:val="5553CFA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ODFlZGQ4OWY4M2UxZjliNjE4NTA3Y2M3ZTExYTgifQ=="/>
  </w:docVars>
  <w:rsids>
    <w:rsidRoot w:val="00B56558"/>
    <w:rsid w:val="000A1300"/>
    <w:rsid w:val="000F04E8"/>
    <w:rsid w:val="00104428"/>
    <w:rsid w:val="001D48CC"/>
    <w:rsid w:val="00257493"/>
    <w:rsid w:val="0033769C"/>
    <w:rsid w:val="0038766D"/>
    <w:rsid w:val="003A3F52"/>
    <w:rsid w:val="00427047"/>
    <w:rsid w:val="00444E65"/>
    <w:rsid w:val="00496D8F"/>
    <w:rsid w:val="00520311"/>
    <w:rsid w:val="00547F5F"/>
    <w:rsid w:val="00577F25"/>
    <w:rsid w:val="00580983"/>
    <w:rsid w:val="00586E0F"/>
    <w:rsid w:val="00586FF8"/>
    <w:rsid w:val="005B6D2A"/>
    <w:rsid w:val="005C25F9"/>
    <w:rsid w:val="0066201F"/>
    <w:rsid w:val="00693B17"/>
    <w:rsid w:val="006A44B9"/>
    <w:rsid w:val="006B3E0F"/>
    <w:rsid w:val="006F0735"/>
    <w:rsid w:val="0072723A"/>
    <w:rsid w:val="00792B4F"/>
    <w:rsid w:val="007C654F"/>
    <w:rsid w:val="0086694D"/>
    <w:rsid w:val="0095761F"/>
    <w:rsid w:val="009B31BF"/>
    <w:rsid w:val="00A90E0B"/>
    <w:rsid w:val="00AB0D91"/>
    <w:rsid w:val="00AD7B18"/>
    <w:rsid w:val="00B231CB"/>
    <w:rsid w:val="00B56558"/>
    <w:rsid w:val="00B809FA"/>
    <w:rsid w:val="00B81404"/>
    <w:rsid w:val="00BA5633"/>
    <w:rsid w:val="00BC4EC4"/>
    <w:rsid w:val="00BF1337"/>
    <w:rsid w:val="00C03A50"/>
    <w:rsid w:val="00C36E9E"/>
    <w:rsid w:val="00C606C6"/>
    <w:rsid w:val="00C966FA"/>
    <w:rsid w:val="00CB1306"/>
    <w:rsid w:val="00CE0641"/>
    <w:rsid w:val="00DA35A1"/>
    <w:rsid w:val="00E37CEF"/>
    <w:rsid w:val="00E403C6"/>
    <w:rsid w:val="00E95284"/>
    <w:rsid w:val="00F1592D"/>
    <w:rsid w:val="00F22FDE"/>
    <w:rsid w:val="00F35911"/>
    <w:rsid w:val="00FE56CF"/>
    <w:rsid w:val="01FD609D"/>
    <w:rsid w:val="07F95EB8"/>
    <w:rsid w:val="086F0025"/>
    <w:rsid w:val="0A386FBF"/>
    <w:rsid w:val="0AAB18B4"/>
    <w:rsid w:val="0DAB10A3"/>
    <w:rsid w:val="0E130328"/>
    <w:rsid w:val="122947DA"/>
    <w:rsid w:val="134E4F52"/>
    <w:rsid w:val="13D80718"/>
    <w:rsid w:val="197539F0"/>
    <w:rsid w:val="1DD84929"/>
    <w:rsid w:val="216058A9"/>
    <w:rsid w:val="22FF4535"/>
    <w:rsid w:val="237650DD"/>
    <w:rsid w:val="248B7165"/>
    <w:rsid w:val="25783DF3"/>
    <w:rsid w:val="25C558C4"/>
    <w:rsid w:val="26296BB1"/>
    <w:rsid w:val="271433BD"/>
    <w:rsid w:val="27D8088F"/>
    <w:rsid w:val="29057462"/>
    <w:rsid w:val="2CB33943"/>
    <w:rsid w:val="2D80355B"/>
    <w:rsid w:val="30117DE9"/>
    <w:rsid w:val="31BD2FCF"/>
    <w:rsid w:val="31CE2772"/>
    <w:rsid w:val="341B37F6"/>
    <w:rsid w:val="377A0A68"/>
    <w:rsid w:val="3D3A24DE"/>
    <w:rsid w:val="3E682515"/>
    <w:rsid w:val="43B347D6"/>
    <w:rsid w:val="447137A5"/>
    <w:rsid w:val="45181E73"/>
    <w:rsid w:val="452B2CA5"/>
    <w:rsid w:val="469F2BD0"/>
    <w:rsid w:val="497A4511"/>
    <w:rsid w:val="4EE3335A"/>
    <w:rsid w:val="52190A93"/>
    <w:rsid w:val="52307478"/>
    <w:rsid w:val="541F6D7A"/>
    <w:rsid w:val="597C317F"/>
    <w:rsid w:val="5AB126F6"/>
    <w:rsid w:val="5F4678B1"/>
    <w:rsid w:val="623C143F"/>
    <w:rsid w:val="624A49A4"/>
    <w:rsid w:val="66E94CC7"/>
    <w:rsid w:val="684079C6"/>
    <w:rsid w:val="6A7769B5"/>
    <w:rsid w:val="6CFC1EF7"/>
    <w:rsid w:val="6D7923A9"/>
    <w:rsid w:val="6E583962"/>
    <w:rsid w:val="6E765C03"/>
    <w:rsid w:val="75390090"/>
    <w:rsid w:val="7B28580A"/>
    <w:rsid w:val="7BC6204D"/>
    <w:rsid w:val="7DA5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kern w:val="0"/>
      <w:sz w:val="24"/>
      <w:szCs w:val="24"/>
      <w:lang w:val="en-US" w:eastAsia="zh-CN" w:bidi="ar-SA"/>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3">
    <w:name w:val="footer"/>
    <w:basedOn w:val="1"/>
    <w:link w:val="9"/>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纯文本 字符"/>
    <w:basedOn w:val="7"/>
    <w:link w:val="2"/>
    <w:autoRedefine/>
    <w:qFormat/>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500</Words>
  <Characters>2852</Characters>
  <Lines>23</Lines>
  <Paragraphs>6</Paragraphs>
  <TotalTime>0</TotalTime>
  <ScaleCrop>false</ScaleCrop>
  <LinksUpToDate>false</LinksUpToDate>
  <CharactersWithSpaces>3346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2023-04-19T06:17:00Z</dcterms:created>
  <dc:creator>lenovo</dc:creator>
  <cp:lastModifiedBy>史正军-西南林大</cp:lastModifiedBy>
  <cp:lastPrinted>2023-04-20T03:15:00Z</cp:lastPrinted>
  <dcterms:modified xsi:type="dcterms:W3CDTF">2024-04-22T07:43:53Z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215275D30BB74FBE8D862F6E92510900_12</vt:lpwstr>
  </property>
</Properties>
</file>